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786" w:rsidRDefault="005D3786" w:rsidP="005D3786">
      <w:pPr>
        <w:pStyle w:val="1"/>
        <w:keepNext w:val="0"/>
        <w:keepLines w:val="0"/>
        <w:spacing w:line="579" w:lineRule="exact"/>
        <w:rPr>
          <w:rFonts w:ascii="方正小标宋简体" w:hAnsi="方正小标宋简体" w:cs="方正小标宋简体"/>
          <w:kern w:val="2"/>
        </w:rPr>
      </w:pPr>
      <w:bookmarkStart w:id="0" w:name="_Toc3245"/>
      <w:bookmarkStart w:id="1" w:name="_Toc3404"/>
      <w:bookmarkStart w:id="2" w:name="_Toc31096"/>
      <w:bookmarkStart w:id="3" w:name="_Toc3857"/>
      <w:bookmarkStart w:id="4" w:name="_Toc2020"/>
      <w:r>
        <w:rPr>
          <w:rFonts w:ascii="方正小标宋简体" w:hAnsi="方正小标宋简体" w:cs="方正小标宋简体" w:hint="eastAsia"/>
          <w:kern w:val="2"/>
        </w:rPr>
        <w:t>中国孔子基金会物资捐赠管理办法</w:t>
      </w:r>
      <w:bookmarkStart w:id="5" w:name="_Toc20700"/>
      <w:r>
        <w:rPr>
          <w:rFonts w:ascii="方正小标宋简体" w:hAnsi="方正小标宋简体" w:cs="方正小标宋简体" w:hint="eastAsia"/>
          <w:kern w:val="2"/>
        </w:rPr>
        <w:t>（试行）</w:t>
      </w:r>
      <w:bookmarkEnd w:id="0"/>
      <w:bookmarkEnd w:id="1"/>
      <w:bookmarkEnd w:id="2"/>
      <w:bookmarkEnd w:id="3"/>
      <w:bookmarkEnd w:id="4"/>
      <w:bookmarkEnd w:id="5"/>
    </w:p>
    <w:p w:rsidR="005D3786" w:rsidRDefault="005D3786" w:rsidP="005D3786">
      <w:pPr>
        <w:spacing w:line="579" w:lineRule="exact"/>
        <w:ind w:firstLineChars="200" w:firstLine="643"/>
        <w:rPr>
          <w:rFonts w:ascii="仿宋_GB2312" w:eastAsia="仿宋_GB2312" w:hAnsiTheme="majorEastAsia" w:cs="仿宋_GB2312"/>
          <w:b/>
          <w:bCs/>
          <w:color w:val="000000" w:themeColor="text1"/>
          <w:sz w:val="32"/>
          <w:szCs w:val="32"/>
        </w:rPr>
      </w:pPr>
    </w:p>
    <w:p w:rsidR="005D3786" w:rsidRDefault="005D3786" w:rsidP="005D3786">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第一条</w:t>
      </w:r>
      <w:r>
        <w:rPr>
          <w:rFonts w:ascii="仿宋_GB2312" w:eastAsia="仿宋_GB2312" w:hAnsiTheme="majorEastAsia" w:cs="仿宋_GB2312" w:hint="eastAsia"/>
          <w:color w:val="000000" w:themeColor="text1"/>
          <w:sz w:val="32"/>
          <w:szCs w:val="32"/>
        </w:rPr>
        <w:t xml:space="preserve"> 为规范物资捐赠管理，保护捐赠人、受益人和中国孔子基金会（以下简称本会）的合法权益，根据《中华人民共和国慈善法》、《中华人民共和国公益事业捐赠法》、《基金会管理条例》、《民间非营利组织会计制度》、《关于规范基金会行为若干规定》等法律法规制定本办法。</w:t>
      </w:r>
      <w:r>
        <w:rPr>
          <w:rFonts w:ascii="仿宋_GB2312" w:eastAsia="仿宋_GB2312" w:hAnsiTheme="majorEastAsia" w:cs="仿宋_GB2312" w:hint="eastAsia"/>
          <w:color w:val="000000" w:themeColor="text1"/>
          <w:sz w:val="32"/>
          <w:szCs w:val="32"/>
        </w:rPr>
        <w:br/>
      </w:r>
      <w:r>
        <w:rPr>
          <w:rFonts w:ascii="仿宋_GB2312" w:eastAsia="仿宋_GB2312" w:hAnsiTheme="majorEastAsia" w:cs="仿宋_GB2312" w:hint="eastAsia"/>
          <w:b/>
          <w:bCs/>
          <w:color w:val="000000" w:themeColor="text1"/>
          <w:sz w:val="32"/>
          <w:szCs w:val="32"/>
        </w:rPr>
        <w:t xml:space="preserve">    </w:t>
      </w:r>
      <w:r w:rsidRPr="001132BB">
        <w:rPr>
          <w:rFonts w:ascii="仿宋_GB2312" w:eastAsia="仿宋_GB2312" w:hAnsiTheme="majorEastAsia" w:cs="仿宋_GB2312" w:hint="eastAsia"/>
          <w:b/>
          <w:bCs/>
          <w:color w:val="000000" w:themeColor="text1"/>
          <w:sz w:val="32"/>
          <w:szCs w:val="32"/>
        </w:rPr>
        <w:t>第二条</w:t>
      </w:r>
      <w:r w:rsidRPr="001132BB">
        <w:rPr>
          <w:rFonts w:asciiTheme="majorEastAsia" w:eastAsia="仿宋_GB2312" w:hAnsiTheme="majorEastAsia" w:cs="仿宋_GB2312" w:hint="eastAsia"/>
          <w:color w:val="000000" w:themeColor="text1"/>
          <w:sz w:val="32"/>
          <w:szCs w:val="32"/>
        </w:rPr>
        <w:t> </w:t>
      </w:r>
      <w:r w:rsidRPr="001132BB">
        <w:rPr>
          <w:rFonts w:ascii="仿宋_GB2312" w:eastAsia="仿宋_GB2312" w:hAnsiTheme="majorEastAsia" w:cs="仿宋_GB2312" w:hint="eastAsia"/>
          <w:color w:val="000000" w:themeColor="text1"/>
          <w:sz w:val="32"/>
          <w:szCs w:val="32"/>
        </w:rPr>
        <w:t>本会接受物资捐赠，应当符合章程规定的宗旨和业务范围。受捐物资应当直接用于资助开展相关公益活动。无法直接用于公益资助的物资，在征得捐赠人同意后可以依法拍卖或变卖，所得收入用于符合捐赠目的的公益活动。本会原则上不接受</w:t>
      </w:r>
      <w:r w:rsidRPr="001132BB">
        <w:rPr>
          <w:rFonts w:ascii="仿宋_GB2312" w:eastAsia="仿宋_GB2312" w:hint="eastAsia"/>
          <w:color w:val="000000" w:themeColor="text1"/>
          <w:sz w:val="32"/>
          <w:szCs w:val="32"/>
        </w:rPr>
        <w:t>不能直接用于公益资助</w:t>
      </w:r>
      <w:r w:rsidRPr="001132BB">
        <w:rPr>
          <w:rFonts w:ascii="仿宋_GB2312" w:eastAsia="仿宋_GB2312" w:hAnsiTheme="majorEastAsia" w:cs="仿宋_GB2312" w:hint="eastAsia"/>
          <w:color w:val="000000" w:themeColor="text1"/>
          <w:sz w:val="32"/>
          <w:szCs w:val="32"/>
        </w:rPr>
        <w:t>且无法拍卖或变卖的物资捐赠。</w:t>
      </w:r>
      <w:r w:rsidRPr="001132BB">
        <w:rPr>
          <w:rFonts w:ascii="仿宋_GB2312" w:eastAsia="仿宋_GB2312" w:hAnsiTheme="majorEastAsia" w:cs="仿宋_GB2312" w:hint="eastAsia"/>
          <w:color w:val="000000" w:themeColor="text1"/>
          <w:sz w:val="32"/>
          <w:szCs w:val="32"/>
        </w:rPr>
        <w:br/>
      </w:r>
      <w:r>
        <w:rPr>
          <w:rFonts w:ascii="仿宋_GB2312" w:eastAsia="仿宋_GB2312" w:hAnsiTheme="majorEastAsia" w:cs="仿宋_GB2312" w:hint="eastAsia"/>
          <w:b/>
          <w:bCs/>
          <w:color w:val="000000" w:themeColor="text1"/>
          <w:sz w:val="32"/>
          <w:szCs w:val="32"/>
        </w:rPr>
        <w:t xml:space="preserve">    第三条</w:t>
      </w:r>
      <w:r>
        <w:rPr>
          <w:rFonts w:asciiTheme="majorEastAsia" w:eastAsia="仿宋_GB2312" w:hAnsiTheme="majorEastAsia" w:cs="仿宋_GB2312" w:hint="eastAsia"/>
          <w:color w:val="000000" w:themeColor="text1"/>
          <w:sz w:val="32"/>
          <w:szCs w:val="32"/>
        </w:rPr>
        <w:t> </w:t>
      </w:r>
      <w:r>
        <w:rPr>
          <w:rFonts w:ascii="仿宋_GB2312" w:eastAsia="仿宋_GB2312" w:hAnsiTheme="majorEastAsia" w:cs="仿宋_GB2312" w:hint="eastAsia"/>
          <w:color w:val="000000" w:themeColor="text1"/>
          <w:sz w:val="32"/>
          <w:szCs w:val="32"/>
        </w:rPr>
        <w:t>物资捐赠包括:生产企业的自产物品、流通企业购买的商品、物资设备、固定资产、图书、艺术品和文化用品等物资。接受捐赠的食品、药品、生物化学制品、医疗器械等物资，必须具有相关产品生产、销售资质，必须符合国家食品药品监督管理部门的相关规定。要查看物品保质期及合格证，确保物品到达受益方时仍处于保质期内且具有实用价值。</w:t>
      </w:r>
    </w:p>
    <w:p w:rsidR="005D3786" w:rsidRPr="006742E6" w:rsidRDefault="005D3786" w:rsidP="005D3786">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bCs/>
          <w:color w:val="000000" w:themeColor="text1"/>
          <w:sz w:val="32"/>
          <w:szCs w:val="32"/>
          <w:shd w:val="clear" w:color="auto" w:fill="FFFFFF"/>
        </w:rPr>
        <w:t>第四条</w:t>
      </w:r>
      <w:r>
        <w:rPr>
          <w:rFonts w:ascii="仿宋_GB2312" w:eastAsia="仿宋_GB2312" w:hAnsiTheme="majorEastAsia" w:cs="仿宋_GB2312" w:hint="eastAsia"/>
          <w:color w:val="000000" w:themeColor="text1"/>
          <w:sz w:val="32"/>
          <w:szCs w:val="32"/>
          <w:shd w:val="clear" w:color="auto" w:fill="FFFFFF"/>
        </w:rPr>
        <w:t xml:space="preserve"> 捐赠物品入库，管理员要履行验收手续，审查实物与捐赠协议约定是否相符，捐赠物品数量是否准确、捐赠物品是否完好，审核无误后办理入库手续。实物与捐赠协议</w:t>
      </w:r>
      <w:r>
        <w:rPr>
          <w:rFonts w:ascii="仿宋_GB2312" w:eastAsia="仿宋_GB2312" w:hAnsiTheme="majorEastAsia" w:cs="仿宋_GB2312" w:hint="eastAsia"/>
          <w:color w:val="000000" w:themeColor="text1"/>
          <w:sz w:val="32"/>
          <w:szCs w:val="32"/>
          <w:shd w:val="clear" w:color="auto" w:fill="FFFFFF"/>
        </w:rPr>
        <w:lastRenderedPageBreak/>
        <w:t>约定数量、质量不符，管理员有权拒绝办理入库手</w:t>
      </w:r>
      <w:r w:rsidRPr="006742E6">
        <w:rPr>
          <w:rFonts w:ascii="仿宋_GB2312" w:eastAsia="仿宋_GB2312" w:hAnsiTheme="majorEastAsia" w:cs="仿宋_GB2312" w:hint="eastAsia"/>
          <w:color w:val="000000" w:themeColor="text1"/>
          <w:sz w:val="32"/>
          <w:szCs w:val="32"/>
          <w:shd w:val="clear" w:color="auto" w:fill="FFFFFF"/>
        </w:rPr>
        <w:t>续，并及时向主管部门汇报。</w:t>
      </w:r>
    </w:p>
    <w:p w:rsidR="005D3786" w:rsidRPr="006742E6" w:rsidRDefault="005D3786" w:rsidP="005D3786">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color w:val="000000" w:themeColor="text1"/>
          <w:sz w:val="32"/>
          <w:szCs w:val="32"/>
          <w:shd w:val="clear" w:color="auto" w:fill="FFFFFF"/>
        </w:rPr>
        <w:t xml:space="preserve">第五条 </w:t>
      </w:r>
      <w:r>
        <w:rPr>
          <w:rFonts w:ascii="仿宋_GB2312" w:eastAsia="仿宋_GB2312" w:hAnsiTheme="majorEastAsia" w:cs="仿宋_GB2312" w:hint="eastAsia"/>
          <w:color w:val="000000" w:themeColor="text1"/>
          <w:sz w:val="32"/>
          <w:szCs w:val="32"/>
          <w:shd w:val="clear" w:color="auto" w:fill="FFFFFF"/>
        </w:rPr>
        <w:t>捐赠物品出库，管理员要审查实物与出库物品清单是否相符、数量是否准确、物品是否完好，审核无误后办理出库手续。出库物品与清单数量、质量不符，管理员有权拒绝办理出库手续</w:t>
      </w:r>
      <w:r w:rsidRPr="006742E6">
        <w:rPr>
          <w:rFonts w:ascii="仿宋_GB2312" w:eastAsia="仿宋_GB2312" w:hAnsiTheme="majorEastAsia" w:cs="仿宋_GB2312" w:hint="eastAsia"/>
          <w:color w:val="000000" w:themeColor="text1"/>
          <w:sz w:val="32"/>
          <w:szCs w:val="32"/>
          <w:shd w:val="clear" w:color="auto" w:fill="FFFFFF"/>
        </w:rPr>
        <w:t>，并及时向主管部门汇报。</w:t>
      </w:r>
    </w:p>
    <w:p w:rsidR="005D3786" w:rsidRDefault="005D3786" w:rsidP="005D3786">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bCs/>
          <w:color w:val="000000" w:themeColor="text1"/>
          <w:sz w:val="32"/>
          <w:szCs w:val="32"/>
          <w:shd w:val="clear" w:color="auto" w:fill="FFFFFF"/>
        </w:rPr>
        <w:t xml:space="preserve">第六条 </w:t>
      </w:r>
      <w:r>
        <w:rPr>
          <w:rFonts w:ascii="仿宋_GB2312" w:eastAsia="仿宋_GB2312" w:hAnsiTheme="majorEastAsia" w:cs="仿宋_GB2312" w:hint="eastAsia"/>
          <w:color w:val="000000" w:themeColor="text1"/>
          <w:sz w:val="32"/>
          <w:szCs w:val="32"/>
          <w:shd w:val="clear" w:color="auto" w:fill="FFFFFF"/>
        </w:rPr>
        <w:t>捐赠物资的管理流程</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物资捐赠分两种情况：</w:t>
      </w:r>
      <w:r w:rsidRPr="00F844B9">
        <w:rPr>
          <w:rFonts w:ascii="仿宋_GB2312" w:eastAsia="仿宋_GB2312" w:hAnsiTheme="majorEastAsia" w:cs="仿宋_GB2312" w:hint="eastAsia"/>
          <w:color w:val="000000" w:themeColor="text1"/>
          <w:sz w:val="32"/>
          <w:szCs w:val="32"/>
          <w:shd w:val="clear" w:color="auto" w:fill="FFFFFF"/>
        </w:rPr>
        <w:br/>
        <w:t xml:space="preserve">    （一）捐赠人将物资捐到本会</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1.接收物资流程：</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（1）基金管理部会同相关部门与捐赠人沟通，审查捐赠的合法性，报</w:t>
      </w:r>
      <w:r w:rsidRPr="00F844B9">
        <w:rPr>
          <w:rFonts w:ascii="仿宋_GB2312" w:eastAsia="仿宋_GB2312" w:hAnsiTheme="majorEastAsia" w:cs="仿宋_GB2312" w:hint="eastAsia"/>
          <w:color w:val="000000" w:themeColor="text1"/>
          <w:sz w:val="32"/>
          <w:szCs w:val="32"/>
        </w:rPr>
        <w:t>主任（秘书长）</w:t>
      </w:r>
      <w:r w:rsidRPr="00F844B9">
        <w:rPr>
          <w:rFonts w:ascii="仿宋_GB2312" w:eastAsia="仿宋_GB2312" w:hAnsiTheme="majorEastAsia" w:cs="仿宋_GB2312" w:hint="eastAsia"/>
          <w:color w:val="000000" w:themeColor="text1"/>
          <w:sz w:val="32"/>
          <w:szCs w:val="32"/>
          <w:shd w:val="clear" w:color="auto" w:fill="FFFFFF"/>
        </w:rPr>
        <w:t>办公会研究通过后接受捐赠，签订捐赠协议；</w:t>
      </w:r>
    </w:p>
    <w:p w:rsidR="005D3786" w:rsidRPr="00892841" w:rsidRDefault="005D3786" w:rsidP="005D3786">
      <w:pPr>
        <w:spacing w:line="579" w:lineRule="exact"/>
        <w:ind w:firstLineChars="200" w:firstLine="640"/>
        <w:rPr>
          <w:rFonts w:ascii="仿宋_GB2312" w:eastAsia="仿宋_GB2312" w:hAnsiTheme="majorEastAsia" w:cs="仿宋_GB2312"/>
          <w:sz w:val="32"/>
          <w:szCs w:val="32"/>
          <w:shd w:val="clear" w:color="auto" w:fill="FFFFFF"/>
        </w:rPr>
      </w:pPr>
      <w:r w:rsidRPr="00892841">
        <w:rPr>
          <w:rFonts w:ascii="仿宋_GB2312" w:eastAsia="仿宋_GB2312" w:hAnsiTheme="majorEastAsia" w:cs="仿宋_GB2312" w:hint="eastAsia"/>
          <w:sz w:val="32"/>
          <w:szCs w:val="32"/>
          <w:shd w:val="clear" w:color="auto" w:fill="FFFFFF"/>
        </w:rPr>
        <w:t>（2）基金管理部据</w:t>
      </w:r>
      <w:r w:rsidRPr="00892841">
        <w:rPr>
          <w:rFonts w:ascii="仿宋_GB2312" w:eastAsia="仿宋_GB2312" w:hAnsiTheme="majorEastAsia" w:cs="仿宋_GB2312" w:hint="eastAsia"/>
          <w:sz w:val="32"/>
          <w:szCs w:val="32"/>
        </w:rPr>
        <w:t>捐赠协议</w:t>
      </w:r>
      <w:r w:rsidRPr="00892841">
        <w:rPr>
          <w:rFonts w:ascii="仿宋_GB2312" w:eastAsia="仿宋_GB2312" w:hAnsiTheme="majorEastAsia" w:cs="仿宋_GB2312" w:hint="eastAsia"/>
          <w:sz w:val="32"/>
          <w:szCs w:val="32"/>
          <w:shd w:val="clear" w:color="auto" w:fill="FFFFFF"/>
        </w:rPr>
        <w:t>，通知捐赠人发货。货到后，基金管理部会同综合部、相关部门开展验收工作，验收通过后，将物资移交仓库管理员并办理入库手续；</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（3）基金管理部依据</w:t>
      </w:r>
      <w:r w:rsidRPr="00F844B9">
        <w:rPr>
          <w:rFonts w:ascii="仿宋_GB2312" w:eastAsia="仿宋_GB2312" w:hAnsiTheme="majorEastAsia" w:cs="仿宋_GB2312" w:hint="eastAsia"/>
          <w:color w:val="000000" w:themeColor="text1"/>
          <w:sz w:val="32"/>
          <w:szCs w:val="32"/>
        </w:rPr>
        <w:t>主任（秘书长）</w:t>
      </w:r>
      <w:r w:rsidRPr="00F844B9">
        <w:rPr>
          <w:rFonts w:ascii="仿宋_GB2312" w:eastAsia="仿宋_GB2312" w:hAnsiTheme="majorEastAsia" w:cs="仿宋_GB2312" w:hint="eastAsia"/>
          <w:color w:val="000000" w:themeColor="text1"/>
          <w:sz w:val="32"/>
          <w:szCs w:val="32"/>
          <w:shd w:val="clear" w:color="auto" w:fill="FFFFFF"/>
        </w:rPr>
        <w:t>办公会决议、捐赠协议、入库手续等材料，到财务开具捐赠收据寄送捐赠人留存。</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2.对外捐赠物资流程:</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（1）基金管理部会同相关部门，接收受益人申请并依据捐赠协议和相关规定，审核确认受益人，报</w:t>
      </w:r>
      <w:r w:rsidRPr="00F844B9">
        <w:rPr>
          <w:rFonts w:ascii="仿宋_GB2312" w:eastAsia="仿宋_GB2312" w:hAnsiTheme="majorEastAsia" w:cs="仿宋_GB2312" w:hint="eastAsia"/>
          <w:color w:val="000000" w:themeColor="text1"/>
          <w:sz w:val="32"/>
          <w:szCs w:val="32"/>
        </w:rPr>
        <w:t>主任（秘书长）</w:t>
      </w:r>
      <w:r w:rsidRPr="00F844B9">
        <w:rPr>
          <w:rFonts w:ascii="仿宋_GB2312" w:eastAsia="仿宋_GB2312" w:hAnsiTheme="majorEastAsia" w:cs="仿宋_GB2312" w:hint="eastAsia"/>
          <w:color w:val="000000" w:themeColor="text1"/>
          <w:sz w:val="32"/>
          <w:szCs w:val="32"/>
          <w:shd w:val="clear" w:color="auto" w:fill="FFFFFF"/>
        </w:rPr>
        <w:t>办公会研究通过后开展捐赠；</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（2）基金管理部和相关部门根据</w:t>
      </w:r>
      <w:r w:rsidRPr="00F844B9">
        <w:rPr>
          <w:rFonts w:ascii="仿宋_GB2312" w:eastAsia="仿宋_GB2312" w:hAnsiTheme="majorEastAsia" w:cs="仿宋_GB2312" w:hint="eastAsia"/>
          <w:color w:val="000000" w:themeColor="text1"/>
          <w:sz w:val="32"/>
          <w:szCs w:val="32"/>
        </w:rPr>
        <w:t>主任（秘书长）</w:t>
      </w:r>
      <w:r w:rsidRPr="00F844B9">
        <w:rPr>
          <w:rFonts w:ascii="仿宋_GB2312" w:eastAsia="仿宋_GB2312" w:hAnsiTheme="majorEastAsia" w:cs="仿宋_GB2312" w:hint="eastAsia"/>
          <w:color w:val="000000" w:themeColor="text1"/>
          <w:sz w:val="32"/>
          <w:szCs w:val="32"/>
          <w:shd w:val="clear" w:color="auto" w:fill="FFFFFF"/>
        </w:rPr>
        <w:t>办公会</w:t>
      </w:r>
      <w:r w:rsidRPr="00F844B9">
        <w:rPr>
          <w:rFonts w:ascii="仿宋_GB2312" w:eastAsia="仿宋_GB2312" w:hAnsiTheme="majorEastAsia" w:cs="仿宋_GB2312" w:hint="eastAsia"/>
          <w:color w:val="000000" w:themeColor="text1"/>
          <w:sz w:val="32"/>
          <w:szCs w:val="32"/>
          <w:shd w:val="clear" w:color="auto" w:fill="FFFFFF"/>
        </w:rPr>
        <w:lastRenderedPageBreak/>
        <w:t>决议和相关材料，到仓库管理员处办理出库手续并提货；</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（3）物资发放后，基金管理部向受益人索取物资接收函（或接受捐赠收据）及相关材料；</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（4）基金管理部将</w:t>
      </w:r>
      <w:r w:rsidRPr="00F844B9">
        <w:rPr>
          <w:rFonts w:ascii="仿宋_GB2312" w:eastAsia="仿宋_GB2312" w:hAnsiTheme="majorEastAsia" w:cs="仿宋_GB2312" w:hint="eastAsia"/>
          <w:color w:val="000000" w:themeColor="text1"/>
          <w:sz w:val="32"/>
          <w:szCs w:val="32"/>
        </w:rPr>
        <w:t>主任（秘书长）</w:t>
      </w:r>
      <w:r w:rsidRPr="00F844B9">
        <w:rPr>
          <w:rFonts w:ascii="仿宋_GB2312" w:eastAsia="仿宋_GB2312" w:hAnsiTheme="majorEastAsia" w:cs="仿宋_GB2312" w:hint="eastAsia"/>
          <w:color w:val="000000" w:themeColor="text1"/>
          <w:sz w:val="32"/>
          <w:szCs w:val="32"/>
          <w:shd w:val="clear" w:color="auto" w:fill="FFFFFF"/>
        </w:rPr>
        <w:t>办公会决议，物资接收函（或接受捐赠收据）等相关材料一并交财务入账。</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（二）捐赠人通过本会直接将物资发放到受益人</w:t>
      </w:r>
    </w:p>
    <w:p w:rsidR="005D3786" w:rsidRPr="00892841" w:rsidRDefault="005D3786" w:rsidP="005D3786">
      <w:pPr>
        <w:spacing w:line="579" w:lineRule="exact"/>
        <w:ind w:firstLineChars="200" w:firstLine="640"/>
        <w:rPr>
          <w:rFonts w:ascii="仿宋_GB2312" w:eastAsia="仿宋_GB2312" w:hAnsiTheme="majorEastAsia" w:cs="仿宋_GB2312"/>
          <w:sz w:val="32"/>
          <w:szCs w:val="32"/>
          <w:shd w:val="clear" w:color="auto" w:fill="FFFFFF"/>
        </w:rPr>
      </w:pPr>
      <w:r w:rsidRPr="00892841">
        <w:rPr>
          <w:rFonts w:ascii="仿宋_GB2312" w:eastAsia="仿宋_GB2312" w:hAnsiTheme="majorEastAsia" w:cs="仿宋_GB2312" w:hint="eastAsia"/>
          <w:sz w:val="32"/>
          <w:szCs w:val="32"/>
          <w:shd w:val="clear" w:color="auto" w:fill="FFFFFF"/>
        </w:rPr>
        <w:t>1. 基金管理部会同相关部门与捐赠人沟通，审查捐赠的合法性，报</w:t>
      </w:r>
      <w:r w:rsidRPr="00892841">
        <w:rPr>
          <w:rFonts w:ascii="仿宋_GB2312" w:eastAsia="仿宋_GB2312" w:hAnsiTheme="majorEastAsia" w:cs="仿宋_GB2312" w:hint="eastAsia"/>
          <w:sz w:val="32"/>
          <w:szCs w:val="32"/>
        </w:rPr>
        <w:t>主任（秘书长）</w:t>
      </w:r>
      <w:r w:rsidRPr="00892841">
        <w:rPr>
          <w:rFonts w:ascii="仿宋_GB2312" w:eastAsia="仿宋_GB2312" w:hAnsiTheme="majorEastAsia" w:cs="仿宋_GB2312" w:hint="eastAsia"/>
          <w:sz w:val="32"/>
          <w:szCs w:val="32"/>
          <w:shd w:val="clear" w:color="auto" w:fill="FFFFFF"/>
        </w:rPr>
        <w:t>办公会研究通过后接受捐赠，签订捐赠协议；</w:t>
      </w:r>
    </w:p>
    <w:p w:rsidR="005D3786" w:rsidRPr="00892841" w:rsidRDefault="005D3786" w:rsidP="005D3786">
      <w:pPr>
        <w:spacing w:line="579" w:lineRule="exact"/>
        <w:ind w:firstLineChars="200" w:firstLine="640"/>
        <w:rPr>
          <w:rFonts w:ascii="仿宋_GB2312" w:eastAsia="仿宋_GB2312" w:hAnsiTheme="majorEastAsia" w:cs="仿宋_GB2312"/>
          <w:sz w:val="32"/>
          <w:szCs w:val="32"/>
          <w:shd w:val="clear" w:color="auto" w:fill="FFFFFF"/>
        </w:rPr>
      </w:pPr>
      <w:r w:rsidRPr="00892841">
        <w:rPr>
          <w:rFonts w:ascii="仿宋_GB2312" w:eastAsia="仿宋_GB2312" w:hAnsiTheme="majorEastAsia" w:cs="仿宋_GB2312" w:hint="eastAsia"/>
          <w:sz w:val="32"/>
          <w:szCs w:val="32"/>
          <w:shd w:val="clear" w:color="auto" w:fill="FFFFFF"/>
        </w:rPr>
        <w:t>2.基金管理部会同相关部门，接收受益人申请并依据捐赠协议和相关规定，审核确认受益人，报</w:t>
      </w:r>
      <w:r w:rsidRPr="00892841">
        <w:rPr>
          <w:rFonts w:ascii="仿宋_GB2312" w:eastAsia="仿宋_GB2312" w:hAnsiTheme="majorEastAsia" w:cs="仿宋_GB2312" w:hint="eastAsia"/>
          <w:sz w:val="32"/>
          <w:szCs w:val="32"/>
        </w:rPr>
        <w:t>主任（秘书长）</w:t>
      </w:r>
      <w:r w:rsidRPr="00892841">
        <w:rPr>
          <w:rFonts w:ascii="仿宋_GB2312" w:eastAsia="仿宋_GB2312" w:hAnsiTheme="majorEastAsia" w:cs="仿宋_GB2312" w:hint="eastAsia"/>
          <w:sz w:val="32"/>
          <w:szCs w:val="32"/>
          <w:shd w:val="clear" w:color="auto" w:fill="FFFFFF"/>
        </w:rPr>
        <w:t>办公会研究通过后开展捐赠；</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3基金管理部和相关部门通知捐赠人将物资直接发放给受益人；</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3. 物资发放后，基金管理部向受益人索取接收函（接受捐赠收据）及相关材料；</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F844B9">
        <w:rPr>
          <w:rFonts w:ascii="仿宋_GB2312" w:eastAsia="仿宋_GB2312" w:hAnsiTheme="majorEastAsia" w:cs="仿宋_GB2312" w:hint="eastAsia"/>
          <w:color w:val="000000" w:themeColor="text1"/>
          <w:sz w:val="32"/>
          <w:szCs w:val="32"/>
          <w:shd w:val="clear" w:color="auto" w:fill="FFFFFF"/>
        </w:rPr>
        <w:t>4．基金管理部将</w:t>
      </w:r>
      <w:r w:rsidRPr="00F844B9">
        <w:rPr>
          <w:rFonts w:ascii="仿宋_GB2312" w:eastAsia="仿宋_GB2312" w:hAnsiTheme="majorEastAsia" w:cs="仿宋_GB2312" w:hint="eastAsia"/>
          <w:color w:val="000000" w:themeColor="text1"/>
          <w:sz w:val="32"/>
          <w:szCs w:val="32"/>
        </w:rPr>
        <w:t>主任（秘书长）</w:t>
      </w:r>
      <w:r w:rsidRPr="00F844B9">
        <w:rPr>
          <w:rFonts w:ascii="仿宋_GB2312" w:eastAsia="仿宋_GB2312" w:hAnsiTheme="majorEastAsia" w:cs="仿宋_GB2312" w:hint="eastAsia"/>
          <w:color w:val="000000" w:themeColor="text1"/>
          <w:sz w:val="32"/>
          <w:szCs w:val="32"/>
          <w:shd w:val="clear" w:color="auto" w:fill="FFFFFF"/>
        </w:rPr>
        <w:t>办公会决议、捐赠协议、物资接收函（或接受捐赠收据）等相关材料一并交财务入账。</w:t>
      </w:r>
    </w:p>
    <w:p w:rsidR="005D3786" w:rsidRDefault="005D3786" w:rsidP="005D3786">
      <w:pPr>
        <w:spacing w:line="220" w:lineRule="atLeast"/>
        <w:ind w:firstLineChars="200" w:firstLine="640"/>
        <w:rPr>
          <w:rFonts w:ascii="仿宋_GB2312" w:eastAsia="仿宋_GB2312" w:hAnsiTheme="majorEastAsia"/>
          <w:color w:val="FF0000"/>
          <w:sz w:val="32"/>
          <w:szCs w:val="32"/>
        </w:rPr>
      </w:pPr>
      <w:r>
        <w:rPr>
          <w:rFonts w:ascii="仿宋_GB2312" w:eastAsia="仿宋_GB2312" w:hAnsiTheme="majorEastAsia" w:cs="仿宋_GB2312" w:hint="eastAsia"/>
          <w:color w:val="000000" w:themeColor="text1"/>
          <w:sz w:val="32"/>
          <w:szCs w:val="32"/>
          <w:shd w:val="clear" w:color="auto" w:fill="FFFFFF"/>
        </w:rPr>
        <w:t>以上两种情况，在接收或对外捐赠物资时，均应填写《</w:t>
      </w:r>
      <w:r>
        <w:rPr>
          <w:rFonts w:ascii="仿宋_GB2312" w:eastAsia="仿宋_GB2312" w:hAnsiTheme="majorEastAsia" w:cs="仿宋_GB2312" w:hint="eastAsia"/>
          <w:color w:val="000000" w:themeColor="text1"/>
          <w:sz w:val="32"/>
          <w:szCs w:val="32"/>
        </w:rPr>
        <w:t>中国孔子基金会受捐物资接收函</w:t>
      </w:r>
      <w:r>
        <w:rPr>
          <w:rFonts w:ascii="仿宋_GB2312" w:eastAsia="仿宋_GB2312" w:hAnsiTheme="majorEastAsia" w:cs="仿宋_GB2312" w:hint="eastAsia"/>
          <w:color w:val="000000" w:themeColor="text1"/>
          <w:sz w:val="32"/>
          <w:szCs w:val="32"/>
          <w:shd w:val="clear" w:color="auto" w:fill="FFFFFF"/>
        </w:rPr>
        <w:t>》（附件一）、《中国孔子基金会捐赠物资接收函》（附件二）。</w:t>
      </w:r>
      <w:r>
        <w:rPr>
          <w:rFonts w:ascii="仿宋_GB2312" w:eastAsia="仿宋_GB2312" w:hAnsiTheme="majorEastAsia" w:hint="eastAsia"/>
          <w:color w:val="000000" w:themeColor="text1"/>
          <w:sz w:val="32"/>
          <w:szCs w:val="32"/>
          <w:shd w:val="clear" w:color="auto" w:fill="FFFFFF"/>
        </w:rPr>
        <w:br/>
      </w:r>
      <w:r>
        <w:rPr>
          <w:rFonts w:ascii="仿宋_GB2312" w:eastAsia="仿宋_GB2312" w:hAnsiTheme="majorEastAsia" w:hint="eastAsia"/>
          <w:b/>
          <w:bCs/>
          <w:color w:val="000000" w:themeColor="text1"/>
          <w:sz w:val="32"/>
          <w:szCs w:val="32"/>
        </w:rPr>
        <w:t xml:space="preserve">    第七条 </w:t>
      </w:r>
      <w:r>
        <w:rPr>
          <w:rFonts w:ascii="仿宋_GB2312" w:eastAsia="仿宋_GB2312" w:hAnsiTheme="majorEastAsia" w:hint="eastAsia"/>
          <w:color w:val="000000" w:themeColor="text1"/>
          <w:sz w:val="32"/>
          <w:szCs w:val="32"/>
        </w:rPr>
        <w:t>本会接受捐赠物资的入账依据：捐赠人提供了发票、报关单等凭据的，以相关凭据作为确认入账价值的依</w:t>
      </w:r>
      <w:r>
        <w:rPr>
          <w:rFonts w:ascii="仿宋_GB2312" w:eastAsia="仿宋_GB2312" w:hAnsiTheme="majorEastAsia" w:hint="eastAsia"/>
          <w:color w:val="000000" w:themeColor="text1"/>
          <w:sz w:val="32"/>
          <w:szCs w:val="32"/>
        </w:rPr>
        <w:lastRenderedPageBreak/>
        <w:t>据；捐赠人不能提供凭据的，以其它确认捐赠财产价值的证明，作为确认入账价值的依据；捐赠人所提供的凭据、</w:t>
      </w:r>
      <w:r w:rsidRPr="001526C7">
        <w:rPr>
          <w:rFonts w:ascii="仿宋_GB2312" w:eastAsia="仿宋_GB2312" w:hAnsiTheme="majorEastAsia" w:hint="eastAsia"/>
          <w:color w:val="000000" w:themeColor="text1"/>
          <w:sz w:val="32"/>
          <w:szCs w:val="32"/>
        </w:rPr>
        <w:t>证明与受赠资产公允价值相差较大的，以公允价值作为入账价值</w:t>
      </w:r>
      <w:r>
        <w:rPr>
          <w:rFonts w:ascii="仿宋_GB2312" w:eastAsia="仿宋_GB2312" w:hAnsiTheme="majorEastAsia" w:hint="eastAsia"/>
          <w:color w:val="000000" w:themeColor="text1"/>
          <w:sz w:val="32"/>
          <w:szCs w:val="32"/>
        </w:rPr>
        <w:t>。</w:t>
      </w:r>
    </w:p>
    <w:p w:rsidR="005D3786" w:rsidRDefault="005D3786" w:rsidP="005D3786">
      <w:pPr>
        <w:spacing w:line="220" w:lineRule="atLeast"/>
        <w:ind w:firstLineChars="200" w:firstLine="640"/>
        <w:rPr>
          <w:rFonts w:ascii="仿宋_GB2312" w:eastAsia="仿宋_GB2312" w:hAnsiTheme="majorEastAsia"/>
          <w:color w:val="000000" w:themeColor="text1"/>
          <w:sz w:val="32"/>
          <w:szCs w:val="32"/>
        </w:rPr>
      </w:pPr>
      <w:r>
        <w:rPr>
          <w:rFonts w:ascii="仿宋_GB2312" w:eastAsia="仿宋_GB2312" w:hAnsiTheme="majorEastAsia" w:hint="eastAsia"/>
          <w:color w:val="000000" w:themeColor="text1"/>
          <w:sz w:val="32"/>
          <w:szCs w:val="32"/>
        </w:rPr>
        <w:t xml:space="preserve">这里提到的公允价值是指：如果同类或者类似物资存在活跃市场的，应当按照同类或者类似物资的市场价格确定公允价值；如果同类或者类似物资不存在活跃市场，或者无法找到同类或者类似物资的，应当采用合理的计价方法确定物资的公允价值，如捐赠人可提供捐赠物资评估报告或者物价证明，以此作为捐赠物资价值。    </w:t>
      </w:r>
    </w:p>
    <w:p w:rsidR="005D3786" w:rsidRDefault="005D3786" w:rsidP="005D3786">
      <w:pPr>
        <w:spacing w:line="220" w:lineRule="atLeast"/>
        <w:ind w:firstLineChars="200" w:firstLine="640"/>
        <w:rPr>
          <w:rFonts w:ascii="仿宋_GB2312" w:eastAsia="仿宋_GB2312" w:hAnsiTheme="majorEastAsia"/>
          <w:color w:val="FF0000"/>
          <w:sz w:val="32"/>
          <w:szCs w:val="32"/>
        </w:rPr>
      </w:pPr>
      <w:r>
        <w:rPr>
          <w:rFonts w:ascii="仿宋_GB2312" w:eastAsia="仿宋_GB2312" w:hAnsiTheme="majorEastAsia" w:hint="eastAsia"/>
          <w:color w:val="000000" w:themeColor="text1"/>
          <w:sz w:val="32"/>
          <w:szCs w:val="32"/>
        </w:rPr>
        <w:t>（一）捐赠人提供其自产物资，在出厂价的基础上,参考当地物价部门核定产品单价或近期销售同类产品发票、合同价格作为入账依据；</w:t>
      </w:r>
    </w:p>
    <w:p w:rsidR="005D3786" w:rsidRPr="00F844B9" w:rsidRDefault="005D3786" w:rsidP="005D3786">
      <w:pPr>
        <w:ind w:firstLineChars="200" w:firstLine="640"/>
        <w:rPr>
          <w:rFonts w:ascii="仿宋_GB2312" w:eastAsia="仿宋_GB2312" w:hAnsiTheme="majorEastAsia"/>
          <w:color w:val="000000" w:themeColor="text1"/>
          <w:sz w:val="32"/>
          <w:szCs w:val="32"/>
        </w:rPr>
      </w:pPr>
      <w:r>
        <w:rPr>
          <w:rFonts w:ascii="仿宋_GB2312" w:eastAsia="仿宋_GB2312" w:hAnsiTheme="majorEastAsia" w:hint="eastAsia"/>
          <w:color w:val="000000" w:themeColor="text1"/>
          <w:sz w:val="32"/>
          <w:szCs w:val="32"/>
        </w:rPr>
        <w:t>（二）进口物资以海关报价为入账依据</w:t>
      </w:r>
      <w:r w:rsidRPr="00F844B9">
        <w:rPr>
          <w:rFonts w:ascii="仿宋_GB2312" w:eastAsia="仿宋_GB2312" w:hAnsiTheme="majorEastAsia" w:hint="eastAsia"/>
          <w:color w:val="000000" w:themeColor="text1"/>
          <w:sz w:val="32"/>
          <w:szCs w:val="32"/>
        </w:rPr>
        <w:t>（捐赠人提供报关单）；</w:t>
      </w:r>
      <w:r w:rsidRPr="00F844B9">
        <w:rPr>
          <w:rFonts w:ascii="仿宋_GB2312" w:eastAsia="仿宋_GB2312" w:hAnsiTheme="majorEastAsia" w:hint="eastAsia"/>
          <w:color w:val="000000" w:themeColor="text1"/>
          <w:sz w:val="32"/>
          <w:szCs w:val="32"/>
        </w:rPr>
        <w:br/>
        <w:t xml:space="preserve">    （三）购买的物资以购买价为入账依据（捐赠人提供购物发票）； </w:t>
      </w:r>
    </w:p>
    <w:p w:rsidR="005D3786" w:rsidRDefault="005D3786" w:rsidP="005D3786">
      <w:pPr>
        <w:ind w:firstLineChars="200" w:firstLine="640"/>
        <w:rPr>
          <w:rFonts w:ascii="仿宋_GB2312" w:eastAsia="仿宋_GB2312" w:hAnsiTheme="majorEastAsia"/>
          <w:color w:val="000000" w:themeColor="text1"/>
          <w:sz w:val="32"/>
          <w:szCs w:val="32"/>
        </w:rPr>
      </w:pPr>
      <w:r w:rsidRPr="00F844B9">
        <w:rPr>
          <w:rFonts w:ascii="仿宋_GB2312" w:eastAsia="仿宋_GB2312" w:hAnsiTheme="majorEastAsia" w:hint="eastAsia"/>
          <w:color w:val="000000" w:themeColor="text1"/>
          <w:sz w:val="32"/>
          <w:szCs w:val="32"/>
        </w:rPr>
        <w:t>（四）无明确市场价格的物资以评估价值为入账依据(捐赠人提供评估报告)；</w:t>
      </w:r>
      <w:r w:rsidRPr="00F844B9">
        <w:rPr>
          <w:rFonts w:ascii="仿宋_GB2312" w:eastAsia="仿宋_GB2312" w:hAnsiTheme="majorEastAsia" w:hint="eastAsia"/>
          <w:color w:val="000000" w:themeColor="text1"/>
          <w:sz w:val="32"/>
          <w:szCs w:val="32"/>
        </w:rPr>
        <w:br/>
      </w:r>
      <w:r>
        <w:rPr>
          <w:rFonts w:ascii="仿宋_GB2312" w:eastAsia="仿宋_GB2312" w:hAnsiTheme="majorEastAsia" w:hint="eastAsia"/>
          <w:color w:val="000000" w:themeColor="text1"/>
          <w:sz w:val="32"/>
          <w:szCs w:val="32"/>
        </w:rPr>
        <w:t xml:space="preserve">    （五）接收捐赠的固定资产尚在折旧年限之内的，根据捐赠人提供采购时的金额，按照税务相关规定以计提折旧后的剩余价值计价。捐赠的已过折旧期限的固定资产，应按照税务相关规定计价；</w:t>
      </w:r>
    </w:p>
    <w:p w:rsidR="005D3786" w:rsidRDefault="005D3786" w:rsidP="005D3786">
      <w:pPr>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仿宋_GB2312" w:hint="eastAsia"/>
          <w:color w:val="000000" w:themeColor="text1"/>
          <w:sz w:val="32"/>
          <w:szCs w:val="32"/>
        </w:rPr>
        <w:lastRenderedPageBreak/>
        <w:t>（六）图书捐赠应提供图书出版单位提供的图书出库单，根据出库单标明的码洋确定捐赠金额。如果不能提供出版单位出库单或购买原始凭据，则以市场的公允价值确定捐赠金额；</w:t>
      </w:r>
      <w:r>
        <w:rPr>
          <w:rFonts w:asciiTheme="majorEastAsia" w:eastAsia="仿宋_GB2312" w:hAnsiTheme="majorEastAsia" w:cs="仿宋_GB2312" w:hint="eastAsia"/>
          <w:color w:val="000000" w:themeColor="text1"/>
          <w:sz w:val="32"/>
          <w:szCs w:val="32"/>
        </w:rPr>
        <w:t>  </w:t>
      </w:r>
      <w:r>
        <w:rPr>
          <w:rFonts w:ascii="仿宋_GB2312" w:eastAsia="仿宋_GB2312" w:hAnsiTheme="majorEastAsia" w:hint="eastAsia"/>
          <w:color w:val="000000" w:themeColor="text1"/>
          <w:sz w:val="32"/>
          <w:szCs w:val="32"/>
        </w:rPr>
        <w:br/>
        <w:t xml:space="preserve">    （七）</w:t>
      </w:r>
      <w:r>
        <w:rPr>
          <w:rFonts w:ascii="仿宋_GB2312" w:eastAsia="仿宋_GB2312" w:hint="eastAsia"/>
          <w:sz w:val="32"/>
          <w:szCs w:val="32"/>
        </w:rPr>
        <w:t>在接受书画、古玩、艺术品等文化文物，土地、房屋等不动产，或不能直接用于公益资助的物资时，应与捐赠人签署物资变卖或使用协议。需变卖的，一般应当采取公开拍卖方式，以拍卖后的实际价值作为捐赠物资的公允价值，开具财政部监制的《公益性单位接受捐赠统一收据》和捐赠证书。变卖捐赠物资所得款项，必须作为捐赠财产管理、使用，不得挪作他用；</w:t>
      </w:r>
    </w:p>
    <w:p w:rsidR="005D3786" w:rsidRPr="00F844B9" w:rsidRDefault="005D3786" w:rsidP="005D3786">
      <w:pPr>
        <w:spacing w:line="579" w:lineRule="exact"/>
        <w:ind w:firstLineChars="200" w:firstLine="640"/>
        <w:rPr>
          <w:rFonts w:ascii="仿宋_GB2312" w:eastAsia="仿宋_GB2312" w:hAnsiTheme="majorEastAsia" w:cs="仿宋_GB2312"/>
          <w:color w:val="000000" w:themeColor="text1"/>
          <w:sz w:val="32"/>
          <w:szCs w:val="32"/>
        </w:rPr>
      </w:pPr>
      <w:r w:rsidRPr="00F844B9">
        <w:rPr>
          <w:rFonts w:ascii="仿宋_GB2312" w:eastAsia="仿宋_GB2312" w:hAnsiTheme="majorEastAsia" w:cs="仿宋_GB2312" w:hint="eastAsia"/>
          <w:color w:val="000000" w:themeColor="text1"/>
          <w:sz w:val="32"/>
          <w:szCs w:val="32"/>
        </w:rPr>
        <w:t>（八）</w:t>
      </w:r>
      <w:r w:rsidRPr="00F844B9">
        <w:rPr>
          <w:rFonts w:ascii="仿宋_GB2312" w:eastAsia="仿宋_GB2312" w:hint="eastAsia"/>
          <w:color w:val="000000" w:themeColor="text1"/>
          <w:sz w:val="32"/>
          <w:szCs w:val="32"/>
        </w:rPr>
        <w:t>不能拍卖或不允许拍卖，且</w:t>
      </w:r>
      <w:r w:rsidRPr="00F844B9">
        <w:rPr>
          <w:rFonts w:ascii="仿宋_GB2312" w:eastAsia="仿宋_GB2312" w:hAnsiTheme="majorEastAsia" w:cs="仿宋_GB2312" w:hint="eastAsia"/>
          <w:color w:val="000000" w:themeColor="text1"/>
          <w:sz w:val="32"/>
          <w:szCs w:val="32"/>
        </w:rPr>
        <w:t>经评估无法确认价值或无法评估的，不计入捐赠收入，不开具捐赠票据,另行造册登记并开具捐赠证明。</w:t>
      </w:r>
    </w:p>
    <w:p w:rsidR="005D3786" w:rsidRPr="00F844B9" w:rsidRDefault="005D3786" w:rsidP="005D3786">
      <w:pPr>
        <w:spacing w:line="579" w:lineRule="exact"/>
        <w:ind w:firstLineChars="200" w:firstLine="643"/>
        <w:rPr>
          <w:rFonts w:ascii="仿宋_GB2312" w:eastAsia="仿宋_GB2312" w:hAnsiTheme="majorEastAsia" w:cs="仿宋_GB2312"/>
          <w:color w:val="000000" w:themeColor="text1"/>
          <w:sz w:val="32"/>
          <w:szCs w:val="32"/>
        </w:rPr>
      </w:pPr>
      <w:r w:rsidRPr="00F844B9">
        <w:rPr>
          <w:rFonts w:ascii="仿宋_GB2312" w:eastAsia="仿宋_GB2312" w:hAnsiTheme="majorEastAsia" w:cs="仿宋_GB2312" w:hint="eastAsia"/>
          <w:b/>
          <w:bCs/>
          <w:color w:val="000000" w:themeColor="text1"/>
          <w:sz w:val="32"/>
          <w:szCs w:val="32"/>
        </w:rPr>
        <w:t>第八条</w:t>
      </w:r>
      <w:r w:rsidRPr="00F844B9">
        <w:rPr>
          <w:rFonts w:ascii="仿宋_GB2312" w:eastAsia="仿宋_GB2312" w:hAnsiTheme="majorEastAsia" w:cs="仿宋_GB2312" w:hint="eastAsia"/>
          <w:color w:val="000000" w:themeColor="text1"/>
          <w:sz w:val="32"/>
          <w:szCs w:val="32"/>
        </w:rPr>
        <w:t xml:space="preserve"> 捐赠人将捐赠物资运抵本会或按照本会要求转运给受益人过程中产生的运输管理等费用，由捐赠人承担或由双方协商确定，捐赠人所承担费用计入捐赠物资价值（需提供有效票据）。本会按照捐赠物资实际入账价值，向捐赠人开具财政部监制的公益事业捐赠统一票据。</w:t>
      </w:r>
    </w:p>
    <w:p w:rsidR="005D3786" w:rsidRDefault="005D3786" w:rsidP="005D3786">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第九条</w:t>
      </w:r>
      <w:r>
        <w:rPr>
          <w:rFonts w:ascii="仿宋_GB2312" w:eastAsia="仿宋_GB2312" w:hAnsiTheme="majorEastAsia" w:cs="仿宋_GB2312" w:hint="eastAsia"/>
          <w:color w:val="000000" w:themeColor="text1"/>
          <w:sz w:val="32"/>
          <w:szCs w:val="32"/>
        </w:rPr>
        <w:t xml:space="preserve"> 捐赠人应按照捐赠协议约定的期限和方式，将捐赠物资移交本会或受益人，捐赠协议签订后双方不得擅自撤销捐赠。对因特殊情况不能按时履约的或无法履约的，捐赠人应当及时向本会提交书面说明情况和相关证明材料。如</w:t>
      </w:r>
      <w:r>
        <w:rPr>
          <w:rFonts w:ascii="仿宋_GB2312" w:eastAsia="仿宋_GB2312" w:hAnsiTheme="majorEastAsia" w:cs="仿宋_GB2312" w:hint="eastAsia"/>
          <w:color w:val="000000" w:themeColor="text1"/>
          <w:sz w:val="32"/>
          <w:szCs w:val="32"/>
        </w:rPr>
        <w:lastRenderedPageBreak/>
        <w:t xml:space="preserve">捐赠人无故违约，本会有权依法追究捐赠人违约责任，并通过适当方式向社会公告。 </w:t>
      </w:r>
    </w:p>
    <w:p w:rsidR="005D3786" w:rsidRDefault="005D3786" w:rsidP="005D3786">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 xml:space="preserve">第十条 </w:t>
      </w:r>
      <w:r>
        <w:rPr>
          <w:rFonts w:ascii="仿宋_GB2312" w:eastAsia="仿宋_GB2312" w:hAnsiTheme="majorEastAsia" w:cs="仿宋_GB2312" w:hint="eastAsia"/>
          <w:color w:val="000000" w:themeColor="text1"/>
          <w:sz w:val="32"/>
          <w:szCs w:val="32"/>
        </w:rPr>
        <w:t xml:space="preserve">本会按照相关法律法规和捐赠协议使用捐赠物资，不得以任何形式转让、出售、出租或挪用。如确需变更用途，应征得捐赠人同意并签署捐赠物资用途变更协议。本会变卖捐赠物资，应征得捐赠人书面同意，由本会会同有关机构实施，一般应当采取公开拍卖方式。变卖捐赠物资所得款项作为捐赠财产管理使用。 </w:t>
      </w:r>
    </w:p>
    <w:p w:rsidR="005D3786" w:rsidRDefault="005D3786" w:rsidP="005D3786">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第十一条</w:t>
      </w:r>
      <w:r>
        <w:rPr>
          <w:rFonts w:ascii="仿宋_GB2312" w:eastAsia="仿宋_GB2312" w:hAnsiTheme="majorEastAsia" w:cs="仿宋_GB2312" w:hint="eastAsia"/>
          <w:color w:val="000000" w:themeColor="text1"/>
          <w:sz w:val="32"/>
          <w:szCs w:val="32"/>
        </w:rPr>
        <w:t xml:space="preserve"> 本会按要求公示受捐赠物资及用途，接受捐赠人和社会公众的监督。如发现截留、挤占、挪用、拖延支付或弄虚作假等问题时，本会应立即会同有关方面严肃查处，并及时公布处理结果。 </w:t>
      </w:r>
    </w:p>
    <w:p w:rsidR="005D3786" w:rsidRDefault="005D3786" w:rsidP="005D3786">
      <w:pPr>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第十二条</w:t>
      </w:r>
      <w:r>
        <w:rPr>
          <w:rFonts w:ascii="仿宋_GB2312" w:eastAsia="仿宋_GB2312" w:hAnsiTheme="majorEastAsia" w:cs="仿宋_GB2312" w:hint="eastAsia"/>
          <w:color w:val="000000" w:themeColor="text1"/>
          <w:sz w:val="32"/>
          <w:szCs w:val="32"/>
        </w:rPr>
        <w:t xml:space="preserve"> 完成物资捐赠后，本会应及时办结物资捐赠有关事项。</w:t>
      </w:r>
    </w:p>
    <w:p w:rsidR="005D3786" w:rsidRDefault="005D3786" w:rsidP="005D3786">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第十三条</w:t>
      </w:r>
      <w:r>
        <w:rPr>
          <w:rFonts w:ascii="仿宋_GB2312" w:eastAsia="仿宋_GB2312" w:hAnsiTheme="majorEastAsia" w:cs="仿宋_GB2312" w:hint="eastAsia"/>
          <w:color w:val="000000" w:themeColor="text1"/>
          <w:sz w:val="32"/>
          <w:szCs w:val="32"/>
        </w:rPr>
        <w:t xml:space="preserve"> 本办法自2021年11月1日起施行。</w:t>
      </w:r>
    </w:p>
    <w:p w:rsidR="005D3786" w:rsidRDefault="005D3786" w:rsidP="005D3786">
      <w:pPr>
        <w:spacing w:line="579" w:lineRule="exact"/>
        <w:ind w:firstLineChars="200" w:firstLine="640"/>
        <w:rPr>
          <w:rFonts w:ascii="仿宋_GB2312" w:eastAsia="仿宋_GB2312" w:hAnsiTheme="majorEastAsia" w:cs="仿宋_GB2312" w:hint="eastAsia"/>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lastRenderedPageBreak/>
        <w:t>附件1</w:t>
      </w:r>
      <w:r>
        <w:rPr>
          <w:rFonts w:ascii="仿宋_GB2312" w:eastAsia="仿宋_GB2312" w:hAnsiTheme="majorEastAsia" w:cs="仿宋_GB2312" w:hint="eastAsia"/>
          <w:color w:val="000000" w:themeColor="text1"/>
          <w:sz w:val="32"/>
          <w:szCs w:val="32"/>
        </w:rPr>
        <w:t>：</w:t>
      </w:r>
    </w:p>
    <w:p w:rsidR="005D3786" w:rsidRDefault="005D3786" w:rsidP="005D3786">
      <w:pPr>
        <w:spacing w:line="579" w:lineRule="exact"/>
        <w:jc w:val="center"/>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中国孔子基金会受捐物资接收函</w:t>
      </w:r>
    </w:p>
    <w:p w:rsidR="005D3786" w:rsidRDefault="005D3786" w:rsidP="005D3786">
      <w:pPr>
        <w:spacing w:line="579" w:lineRule="exact"/>
        <w:jc w:val="center"/>
        <w:rPr>
          <w:rFonts w:ascii="仿宋_GB2312" w:eastAsia="仿宋_GB2312" w:hAnsiTheme="majorEastAsia" w:cs="仿宋_GB2312"/>
          <w:color w:val="000000" w:themeColor="text1"/>
          <w:sz w:val="32"/>
          <w:szCs w:val="32"/>
        </w:rPr>
      </w:pPr>
    </w:p>
    <w:p w:rsidR="005D3786" w:rsidRDefault="005D3786" w:rsidP="005D3786">
      <w:pPr>
        <w:spacing w:line="579" w:lineRule="exact"/>
        <w:rPr>
          <w:rFonts w:ascii="仿宋_GB2312" w:eastAsia="仿宋_GB2312" w:hAnsiTheme="majorEastAsia" w:cs="楷体_GB2312"/>
          <w:color w:val="000000" w:themeColor="text1"/>
          <w:sz w:val="32"/>
          <w:szCs w:val="32"/>
          <w:shd w:val="clear" w:color="auto" w:fill="FFFFFF"/>
        </w:rPr>
      </w:pPr>
      <w:r>
        <w:rPr>
          <w:rFonts w:ascii="仿宋_GB2312" w:eastAsia="仿宋_GB2312" w:hAnsiTheme="majorEastAsia" w:cs="楷体_GB2312" w:hint="eastAsia"/>
          <w:color w:val="000000" w:themeColor="text1"/>
          <w:sz w:val="32"/>
          <w:szCs w:val="32"/>
          <w:shd w:val="clear" w:color="auto" w:fill="FFFFFF"/>
        </w:rPr>
        <w:t>**：</w:t>
      </w:r>
    </w:p>
    <w:p w:rsidR="005D3786" w:rsidRDefault="005D3786" w:rsidP="005D3786">
      <w:pPr>
        <w:spacing w:line="579" w:lineRule="exact"/>
        <w:ind w:firstLine="660"/>
        <w:jc w:val="left"/>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中国孔子基金会兹于年月日，收到捐赠物资，共计 件，价值总计人民币：元，该批（或宗）物资已验收，质量合格。</w:t>
      </w:r>
    </w:p>
    <w:p w:rsidR="005D3786" w:rsidRDefault="005D3786" w:rsidP="005D3786">
      <w:pPr>
        <w:spacing w:line="579" w:lineRule="exact"/>
        <w:ind w:firstLine="660"/>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特此证明。</w:t>
      </w:r>
    </w:p>
    <w:p w:rsidR="005D3786" w:rsidRDefault="005D3786" w:rsidP="005D3786">
      <w:pPr>
        <w:spacing w:line="579" w:lineRule="exact"/>
        <w:rPr>
          <w:rFonts w:ascii="仿宋_GB2312" w:eastAsia="仿宋_GB2312" w:hAnsiTheme="majorEastAsia" w:cs="仿宋_GB2312"/>
          <w:color w:val="000000" w:themeColor="text1"/>
          <w:sz w:val="32"/>
          <w:szCs w:val="32"/>
          <w:shd w:val="clear" w:color="auto" w:fill="FFFFFF"/>
        </w:rPr>
      </w:pPr>
    </w:p>
    <w:p w:rsidR="005D3786" w:rsidRDefault="005D3786" w:rsidP="005D3786">
      <w:pPr>
        <w:spacing w:line="220" w:lineRule="atLeast"/>
        <w:jc w:val="center"/>
        <w:rPr>
          <w:rFonts w:ascii="仿宋_GB2312" w:eastAsia="仿宋_GB2312" w:hAnsiTheme="majorEastAsia"/>
          <w:b/>
          <w:color w:val="000000" w:themeColor="text1"/>
          <w:sz w:val="32"/>
          <w:szCs w:val="32"/>
        </w:rPr>
      </w:pPr>
      <w:r>
        <w:rPr>
          <w:rFonts w:ascii="仿宋_GB2312" w:eastAsia="仿宋_GB2312" w:hAnsiTheme="majorEastAsia" w:hint="eastAsia"/>
          <w:b/>
          <w:color w:val="000000" w:themeColor="text1"/>
          <w:sz w:val="32"/>
          <w:szCs w:val="32"/>
        </w:rPr>
        <w:t>物资明细表</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0"/>
        <w:gridCol w:w="1421"/>
        <w:gridCol w:w="1638"/>
      </w:tblGrid>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序号</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名称</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规格</w:t>
            </w: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质量</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数量</w:t>
            </w: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单价</w:t>
            </w: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金额（元）</w:t>
            </w: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1</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2</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3</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合计</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bl>
    <w:p w:rsidR="005D3786" w:rsidRDefault="005D3786" w:rsidP="005D3786">
      <w:pPr>
        <w:spacing w:line="579" w:lineRule="exact"/>
        <w:ind w:leftChars="650" w:left="1365" w:firstLineChars="400" w:firstLine="1280"/>
        <w:jc w:val="left"/>
        <w:rPr>
          <w:rFonts w:ascii="仿宋_GB2312" w:eastAsia="仿宋_GB2312" w:hAnsiTheme="majorEastAsia" w:cs="仿宋_GB2312"/>
          <w:color w:val="000000" w:themeColor="text1"/>
          <w:sz w:val="32"/>
          <w:szCs w:val="32"/>
          <w:shd w:val="clear" w:color="auto" w:fill="FFFFFF"/>
        </w:rPr>
      </w:pPr>
    </w:p>
    <w:p w:rsidR="005D3786" w:rsidRDefault="005D3786" w:rsidP="005D3786">
      <w:pPr>
        <w:spacing w:line="579" w:lineRule="exact"/>
        <w:ind w:leftChars="650" w:left="1365" w:firstLineChars="326" w:firstLine="1043"/>
        <w:jc w:val="left"/>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接收单位：中国孔子基金会（加盖公章）</w:t>
      </w:r>
      <w:r>
        <w:rPr>
          <w:rFonts w:ascii="仿宋_GB2312" w:eastAsia="仿宋_GB2312" w:hAnsiTheme="majorEastAsia" w:cs="仿宋_GB2312" w:hint="eastAsia"/>
          <w:color w:val="000000" w:themeColor="text1"/>
          <w:sz w:val="32"/>
          <w:szCs w:val="32"/>
          <w:shd w:val="clear" w:color="auto" w:fill="FFFFFF"/>
        </w:rPr>
        <w:t xml:space="preserve">  </w:t>
      </w:r>
    </w:p>
    <w:p w:rsidR="005D3786" w:rsidRDefault="005D3786" w:rsidP="005D3786">
      <w:pPr>
        <w:spacing w:line="579" w:lineRule="exact"/>
        <w:ind w:leftChars="650" w:left="1365" w:firstLineChars="326" w:firstLine="1043"/>
        <w:jc w:val="left"/>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经办人：</w:t>
      </w:r>
    </w:p>
    <w:p w:rsidR="005D3786" w:rsidRDefault="005D3786" w:rsidP="005D3786">
      <w:pPr>
        <w:spacing w:line="579" w:lineRule="exact"/>
        <w:ind w:firstLineChars="753" w:firstLine="2410"/>
        <w:jc w:val="left"/>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日 期：</w:t>
      </w: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b/>
          <w:color w:val="000000" w:themeColor="text1"/>
          <w:sz w:val="32"/>
          <w:szCs w:val="32"/>
        </w:rPr>
      </w:pPr>
    </w:p>
    <w:p w:rsidR="005D3786" w:rsidRDefault="005D3786" w:rsidP="005D3786">
      <w:pPr>
        <w:spacing w:line="579" w:lineRule="exact"/>
        <w:rPr>
          <w:rFonts w:ascii="仿宋_GB2312" w:eastAsia="仿宋_GB2312" w:hAnsiTheme="majorEastAsia" w:cs="仿宋_GB2312"/>
          <w:color w:val="000000" w:themeColor="text1"/>
          <w:sz w:val="32"/>
          <w:szCs w:val="32"/>
        </w:rPr>
      </w:pPr>
      <w:bookmarkStart w:id="6" w:name="_GoBack"/>
      <w:bookmarkEnd w:id="6"/>
      <w:r>
        <w:rPr>
          <w:rFonts w:ascii="仿宋_GB2312" w:eastAsia="仿宋_GB2312" w:hAnsiTheme="majorEastAsia" w:cs="仿宋_GB2312" w:hint="eastAsia"/>
          <w:b/>
          <w:color w:val="000000" w:themeColor="text1"/>
          <w:sz w:val="32"/>
          <w:szCs w:val="32"/>
        </w:rPr>
        <w:lastRenderedPageBreak/>
        <w:t>附件2</w:t>
      </w:r>
      <w:r>
        <w:rPr>
          <w:rFonts w:ascii="仿宋_GB2312" w:eastAsia="仿宋_GB2312" w:hAnsiTheme="majorEastAsia" w:cs="仿宋_GB2312" w:hint="eastAsia"/>
          <w:color w:val="000000" w:themeColor="text1"/>
          <w:sz w:val="32"/>
          <w:szCs w:val="32"/>
        </w:rPr>
        <w:t>：</w:t>
      </w:r>
    </w:p>
    <w:p w:rsidR="005D3786" w:rsidRDefault="005D3786" w:rsidP="005D3786">
      <w:pPr>
        <w:spacing w:line="579" w:lineRule="exact"/>
        <w:jc w:val="center"/>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中国孔子基金会捐赠物资接收函</w:t>
      </w:r>
    </w:p>
    <w:p w:rsidR="005D3786" w:rsidRDefault="005D3786" w:rsidP="005D3786">
      <w:pPr>
        <w:spacing w:line="579" w:lineRule="exact"/>
        <w:rPr>
          <w:rFonts w:ascii="仿宋_GB2312" w:eastAsia="仿宋_GB2312" w:hAnsiTheme="majorEastAsia" w:cs="楷体_GB2312"/>
          <w:color w:val="000000" w:themeColor="text1"/>
          <w:sz w:val="32"/>
          <w:szCs w:val="32"/>
          <w:shd w:val="clear" w:color="auto" w:fill="FFFFFF"/>
        </w:rPr>
      </w:pPr>
    </w:p>
    <w:p w:rsidR="005D3786" w:rsidRDefault="005D3786" w:rsidP="005D3786">
      <w:pPr>
        <w:spacing w:line="579" w:lineRule="exact"/>
        <w:rPr>
          <w:rFonts w:ascii="仿宋_GB2312" w:eastAsia="仿宋_GB2312" w:hAnsiTheme="majorEastAsia" w:cs="楷体_GB2312"/>
          <w:color w:val="000000" w:themeColor="text1"/>
          <w:sz w:val="32"/>
          <w:szCs w:val="32"/>
          <w:shd w:val="clear" w:color="auto" w:fill="FFFFFF"/>
        </w:rPr>
      </w:pPr>
      <w:r>
        <w:rPr>
          <w:rFonts w:ascii="仿宋_GB2312" w:eastAsia="仿宋_GB2312" w:hAnsiTheme="majorEastAsia" w:cs="楷体_GB2312" w:hint="eastAsia"/>
          <w:color w:val="000000" w:themeColor="text1"/>
          <w:sz w:val="32"/>
          <w:szCs w:val="32"/>
          <w:shd w:val="clear" w:color="auto" w:fill="FFFFFF"/>
        </w:rPr>
        <w:t>中国孔子基金会：</w:t>
      </w:r>
    </w:p>
    <w:p w:rsidR="005D3786" w:rsidRDefault="005D3786" w:rsidP="005D3786">
      <w:pPr>
        <w:spacing w:line="579" w:lineRule="exact"/>
        <w:ind w:firstLine="660"/>
        <w:jc w:val="left"/>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我单位于年月日，收到你会捐赠物资，共计 件，价值总计人民币：元，该批（或宗）物资已验收，质量合格。按照你会要求,用于。</w:t>
      </w:r>
    </w:p>
    <w:p w:rsidR="005D3786" w:rsidRDefault="005D3786" w:rsidP="005D3786">
      <w:pPr>
        <w:spacing w:line="579" w:lineRule="exact"/>
        <w:ind w:firstLine="660"/>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特此证明。</w:t>
      </w:r>
    </w:p>
    <w:p w:rsidR="005D3786" w:rsidRDefault="005D3786" w:rsidP="005D3786">
      <w:pPr>
        <w:spacing w:line="579" w:lineRule="exact"/>
        <w:rPr>
          <w:rFonts w:ascii="仿宋_GB2312" w:eastAsia="仿宋_GB2312" w:hAnsiTheme="majorEastAsia" w:cs="仿宋_GB2312"/>
          <w:color w:val="000000" w:themeColor="text1"/>
          <w:sz w:val="32"/>
          <w:szCs w:val="32"/>
          <w:shd w:val="clear" w:color="auto" w:fill="FFFFFF"/>
        </w:rPr>
      </w:pPr>
    </w:p>
    <w:p w:rsidR="005D3786" w:rsidRDefault="005D3786" w:rsidP="005D3786">
      <w:pPr>
        <w:spacing w:line="220" w:lineRule="atLeast"/>
        <w:jc w:val="center"/>
        <w:rPr>
          <w:rFonts w:ascii="仿宋_GB2312" w:eastAsia="仿宋_GB2312" w:hAnsiTheme="majorEastAsia"/>
          <w:b/>
          <w:color w:val="000000" w:themeColor="text1"/>
          <w:sz w:val="32"/>
          <w:szCs w:val="32"/>
        </w:rPr>
      </w:pPr>
      <w:r>
        <w:rPr>
          <w:rFonts w:ascii="仿宋_GB2312" w:eastAsia="仿宋_GB2312" w:hAnsiTheme="majorEastAsia" w:hint="eastAsia"/>
          <w:b/>
          <w:color w:val="000000" w:themeColor="text1"/>
          <w:sz w:val="32"/>
          <w:szCs w:val="32"/>
        </w:rPr>
        <w:t>物资明细表</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0"/>
        <w:gridCol w:w="1421"/>
        <w:gridCol w:w="1638"/>
      </w:tblGrid>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序号</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名称</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规格</w:t>
            </w: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质量</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数量</w:t>
            </w: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单价</w:t>
            </w: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金额（元）</w:t>
            </w: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1</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2</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3</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r w:rsidR="005D3786" w:rsidTr="00A90EE5">
        <w:trPr>
          <w:jc w:val="center"/>
        </w:trPr>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合计</w:t>
            </w: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0"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421"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c>
          <w:tcPr>
            <w:tcW w:w="1638" w:type="dxa"/>
            <w:vAlign w:val="center"/>
          </w:tcPr>
          <w:p w:rsidR="005D3786" w:rsidRDefault="005D3786" w:rsidP="00A90EE5">
            <w:pPr>
              <w:spacing w:line="579" w:lineRule="exact"/>
              <w:jc w:val="center"/>
              <w:rPr>
                <w:rFonts w:ascii="仿宋_GB2312" w:eastAsia="仿宋_GB2312" w:hAnsiTheme="majorEastAsia" w:cs="仿宋_GB2312"/>
                <w:color w:val="000000" w:themeColor="text1"/>
                <w:sz w:val="32"/>
                <w:szCs w:val="32"/>
                <w:shd w:val="clear" w:color="auto" w:fill="FFFFFF"/>
              </w:rPr>
            </w:pPr>
          </w:p>
        </w:tc>
      </w:tr>
    </w:tbl>
    <w:p w:rsidR="005D3786" w:rsidRDefault="005D3786" w:rsidP="005D3786">
      <w:pPr>
        <w:rPr>
          <w:rFonts w:ascii="仿宋_GB2312" w:eastAsia="仿宋_GB2312" w:hAnsiTheme="majorEastAsia"/>
          <w:color w:val="000000" w:themeColor="text1"/>
          <w:sz w:val="32"/>
          <w:szCs w:val="32"/>
        </w:rPr>
      </w:pPr>
    </w:p>
    <w:p w:rsidR="005D3786" w:rsidRDefault="005D3786" w:rsidP="005D3786">
      <w:pPr>
        <w:rPr>
          <w:rFonts w:ascii="仿宋_GB2312" w:eastAsia="仿宋_GB2312" w:hAnsiTheme="majorEastAsia"/>
          <w:color w:val="000000" w:themeColor="text1"/>
          <w:sz w:val="32"/>
          <w:szCs w:val="32"/>
        </w:rPr>
      </w:pPr>
    </w:p>
    <w:p w:rsidR="005D3786" w:rsidRDefault="005D3786" w:rsidP="005D3786">
      <w:pPr>
        <w:spacing w:line="579" w:lineRule="exact"/>
        <w:ind w:firstLineChars="1450" w:firstLine="4640"/>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接收单位：（加盖公章）</w:t>
      </w:r>
    </w:p>
    <w:p w:rsidR="005D3786" w:rsidRDefault="005D3786" w:rsidP="005D3786">
      <w:pPr>
        <w:spacing w:line="579" w:lineRule="exact"/>
        <w:ind w:firstLineChars="1450" w:firstLine="4640"/>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经办人：</w:t>
      </w:r>
    </w:p>
    <w:p w:rsidR="005D3786" w:rsidRPr="00892841" w:rsidRDefault="005D3786" w:rsidP="005D3786">
      <w:pPr>
        <w:spacing w:line="579" w:lineRule="exact"/>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color w:val="000000" w:themeColor="text1"/>
          <w:sz w:val="32"/>
          <w:szCs w:val="32"/>
          <w:shd w:val="clear" w:color="auto" w:fill="FFFFFF"/>
        </w:rPr>
        <w:t xml:space="preserve">                             日期 :</w:t>
      </w:r>
    </w:p>
    <w:p w:rsidR="005D3786" w:rsidRDefault="005D3786" w:rsidP="005D3786"/>
    <w:p w:rsidR="00993893" w:rsidRDefault="00993893"/>
    <w:sectPr w:rsidR="00993893" w:rsidSect="00EE3427">
      <w:footerReference w:type="default" r:id="rId4"/>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方正小标宋简体">
    <w:altName w:val="hakuyoxingshu7000"/>
    <w:charset w:val="86"/>
    <w:family w:val="auto"/>
    <w:pitch w:val="variable"/>
    <w:sig w:usb0="A00002BF" w:usb1="184F6CFA" w:usb2="00000012" w:usb3="00000000" w:csb0="00040001"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2C" w:rsidRDefault="005D378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42C" w:rsidRDefault="005D3786">
                          <w:pPr>
                            <w:pStyle w:val="a3"/>
                          </w:pPr>
                          <w:r>
                            <w:fldChar w:fldCharType="begin"/>
                          </w:r>
                          <w:r>
                            <w:instrText xml:space="preserve"> PAGE  \* MERGEFORMAT </w:instrText>
                          </w:r>
                          <w:r>
                            <w:fldChar w:fldCharType="separate"/>
                          </w:r>
                          <w:r>
                            <w:rPr>
                              <w:noProof/>
                            </w:rPr>
                            <w:t>8</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" filled="f" stroked="f">
              <v:textbox style="mso-fit-shape-to-text:t" inset="0,0,0,0">
                <w:txbxContent>
                  <w:p w:rsidR="00D5042C" w:rsidRDefault="005D3786">
                    <w:pPr>
                      <w:pStyle w:val="a3"/>
                    </w:pPr>
                    <w:r>
                      <w:fldChar w:fldCharType="begin"/>
                    </w:r>
                    <w:r>
                      <w:instrText xml:space="preserve"> PAGE  \* MERGEFORMAT </w:instrText>
                    </w:r>
                    <w:r>
                      <w:fldChar w:fldCharType="separate"/>
                    </w:r>
                    <w:r>
                      <w:rPr>
                        <w:noProof/>
                      </w:rPr>
                      <w:t>8</w:t>
                    </w:r>
                    <w:r>
                      <w:rPr>
                        <w:noProof/>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86"/>
    <w:rsid w:val="005D3786"/>
    <w:rsid w:val="00993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AFE89"/>
  <w15:chartTrackingRefBased/>
  <w15:docId w15:val="{4CC91044-1C53-4D54-B212-76F135D3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786"/>
    <w:pPr>
      <w:widowControl w:val="0"/>
      <w:jc w:val="both"/>
    </w:pPr>
  </w:style>
  <w:style w:type="paragraph" w:styleId="1">
    <w:name w:val="heading 1"/>
    <w:basedOn w:val="a"/>
    <w:next w:val="a"/>
    <w:link w:val="10"/>
    <w:uiPriority w:val="9"/>
    <w:qFormat/>
    <w:rsid w:val="005D3786"/>
    <w:pPr>
      <w:keepNext/>
      <w:keepLines/>
      <w:spacing w:line="578" w:lineRule="exact"/>
      <w:jc w:val="center"/>
      <w:outlineLvl w:val="0"/>
    </w:pPr>
    <w:rPr>
      <w:rFonts w:ascii="Calibri" w:eastAsia="方正小标宋简体" w:hAnsi="Calibri"/>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5D3786"/>
    <w:rPr>
      <w:rFonts w:ascii="Calibri" w:eastAsia="方正小标宋简体" w:hAnsi="Calibri"/>
      <w:bCs/>
      <w:kern w:val="44"/>
      <w:sz w:val="44"/>
      <w:szCs w:val="44"/>
    </w:rPr>
  </w:style>
  <w:style w:type="paragraph" w:styleId="a3">
    <w:name w:val="footer"/>
    <w:basedOn w:val="a"/>
    <w:link w:val="a4"/>
    <w:uiPriority w:val="99"/>
    <w:unhideWhenUsed/>
    <w:rsid w:val="005D3786"/>
    <w:pPr>
      <w:tabs>
        <w:tab w:val="center" w:pos="4153"/>
        <w:tab w:val="right" w:pos="8306"/>
      </w:tabs>
      <w:snapToGrid w:val="0"/>
      <w:jc w:val="left"/>
    </w:pPr>
    <w:rPr>
      <w:sz w:val="18"/>
      <w:szCs w:val="18"/>
    </w:rPr>
  </w:style>
  <w:style w:type="character" w:customStyle="1" w:styleId="a4">
    <w:name w:val="页脚 字符"/>
    <w:basedOn w:val="a0"/>
    <w:link w:val="a3"/>
    <w:uiPriority w:val="99"/>
    <w:rsid w:val="005D3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490</Words>
  <Characters>2796</Characters>
  <Application>Microsoft Office Word</Application>
  <DocSecurity>0</DocSecurity>
  <Lines>23</Lines>
  <Paragraphs>6</Paragraphs>
  <ScaleCrop>false</ScaleCrop>
  <Company>Microsoft</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2021-10-29T07:37:00Z</dcterms:created>
  <dcterms:modified xsi:type="dcterms:W3CDTF">2021-10-29T07:39:00Z</dcterms:modified>
</cp:coreProperties>
</file>